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43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5"/>
        <w:gridCol w:w="9240"/>
        <w:tblGridChange w:id="0">
          <w:tblGrid>
            <w:gridCol w:w="255"/>
            <w:gridCol w:w="9240"/>
          </w:tblGrid>
        </w:tblGridChange>
      </w:tblGrid>
      <w:tr>
        <w:trPr>
          <w:cantSplit w:val="0"/>
          <w:trHeight w:val="184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before="227"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46355</wp:posOffset>
                  </wp:positionV>
                  <wp:extent cx="1085850" cy="1085850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before="227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32"/>
                <w:szCs w:val="32"/>
                <w:rtl w:val="0"/>
              </w:rPr>
              <w:t xml:space="preserve">Przedmiotowe Zasady Oceniania</w:t>
            </w:r>
          </w:p>
          <w:p w:rsidR="00000000" w:rsidDel="00000000" w:rsidP="00000000" w:rsidRDefault="00000000" w:rsidRPr="00000000" w14:paraId="00000004">
            <w:pPr>
              <w:spacing w:before="227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32"/>
                <w:szCs w:val="32"/>
                <w:rtl w:val="0"/>
              </w:rPr>
              <w:t xml:space="preserve">na lekcjach wychowania Fizycznego</w:t>
            </w:r>
          </w:p>
          <w:p w:rsidR="00000000" w:rsidDel="00000000" w:rsidP="00000000" w:rsidRDefault="00000000" w:rsidRPr="00000000" w14:paraId="00000005">
            <w:pPr>
              <w:spacing w:before="227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32"/>
                <w:szCs w:val="32"/>
                <w:rtl w:val="0"/>
              </w:rPr>
              <w:t xml:space="preserve">- rok szkolny 2023/2024 -</w:t>
            </w:r>
          </w:p>
          <w:p w:rsidR="00000000" w:rsidDel="00000000" w:rsidP="00000000" w:rsidRDefault="00000000" w:rsidRPr="00000000" w14:paraId="00000006">
            <w:pPr>
              <w:spacing w:before="227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32"/>
                <w:szCs w:val="32"/>
                <w:rtl w:val="0"/>
              </w:rPr>
              <w:t xml:space="preserve">klasy IV-VIII</w:t>
            </w:r>
          </w:p>
          <w:p w:rsidR="00000000" w:rsidDel="00000000" w:rsidP="00000000" w:rsidRDefault="00000000" w:rsidRPr="00000000" w14:paraId="00000007">
            <w:pPr>
              <w:spacing w:before="227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227" w:lineRule="auto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227" w:line="36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1. Obszary podlegające ocenie to: umiejętności ruchowe zgodne z wymogami edukacyjnymi, postępy w sprawności fizycznej, teoria wychowania fizycznego (zasady zdrowego trybu życia, znajomość przepisów dyscyplin sportowych , bezpieczeństwo i higiena).</w:t>
            </w:r>
          </w:p>
        </w:tc>
      </w:tr>
    </w:tbl>
    <w:p w:rsidR="00000000" w:rsidDel="00000000" w:rsidP="00000000" w:rsidRDefault="00000000" w:rsidRPr="00000000" w14:paraId="0000000A">
      <w:pPr>
        <w:spacing w:before="227" w:line="360" w:lineRule="auto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2. Podstawę oceny z wychowania fizycznego stanowi  aktywność i zaangażowanie 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ucznia. Bardzo ważny jest też wysiłek wkładany w rozwój umiejętności ruchowych oraz działanie na rzecz zdrowia i sportu, aktywny udział w  projektach, konkursach, imprezach, zawodach szkolnych i pozaszkolnych, kółku sportowym oraz w  innych formach  aktywności sportowych..  </w:t>
      </w:r>
    </w:p>
    <w:p w:rsidR="00000000" w:rsidDel="00000000" w:rsidP="00000000" w:rsidRDefault="00000000" w:rsidRPr="00000000" w14:paraId="0000000B">
      <w:pPr>
        <w:spacing w:before="227" w:line="360" w:lineRule="auto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3.  Niećwiczenie i nieprzygotowanie (brak stroju sportowego), zgłaszamy przed lekcją (nie więcej niż dwa razy na semestr).</w:t>
      </w:r>
    </w:p>
    <w:p w:rsidR="00000000" w:rsidDel="00000000" w:rsidP="00000000" w:rsidRDefault="00000000" w:rsidRPr="00000000" w14:paraId="0000000C">
      <w:pPr>
        <w:spacing w:before="227" w:line="360" w:lineRule="auto"/>
        <w:ind w:left="0" w:firstLine="0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4. W przypadku nieobecności na sprawdzianie uczeń ma obowiązek przystąpić do   sprawdzianu  po uzgodnieniu terminu z nauczycielem.</w:t>
      </w:r>
    </w:p>
    <w:p w:rsidR="00000000" w:rsidDel="00000000" w:rsidP="00000000" w:rsidRDefault="00000000" w:rsidRPr="00000000" w14:paraId="0000000D">
      <w:pPr>
        <w:spacing w:before="227" w:line="360" w:lineRule="auto"/>
        <w:ind w:left="0" w:firstLine="0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5. Uczeń może poprawić każdą ocenę ze sprawdzianu w terminie uzgodnionym z nauczycielem.</w:t>
      </w:r>
    </w:p>
    <w:p w:rsidR="00000000" w:rsidDel="00000000" w:rsidP="00000000" w:rsidRDefault="00000000" w:rsidRPr="00000000" w14:paraId="0000000E">
      <w:pPr>
        <w:spacing w:before="227" w:line="360" w:lineRule="auto"/>
        <w:ind w:left="0" w:firstLine="0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6. Na ocenę śródroczną i roczną uczeń pracuje systematycznie. Ocena ta nie jest średnią arytmetyczną, ale całościową oceną wkładu pracy i osiągnięć ucznia. Na podwyższenie oceny może wpłynąć systematyczne uczestnictwo w zajęciach.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